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47C0" w:rsidRPr="004D47C0" w:rsidRDefault="004D47C0" w:rsidP="004D47C0">
      <w:pPr>
        <w:pStyle w:val="a4"/>
        <w:jc w:val="center"/>
        <w:rPr>
          <w:rFonts w:ascii="苹方 常规" w:eastAsia="苹方 常规" w:hAnsi="苹方 常规" w:cs="苹方 常规"/>
          <w:sz w:val="36"/>
          <w:szCs w:val="36"/>
        </w:rPr>
      </w:pPr>
      <w:r w:rsidRPr="004D47C0">
        <w:rPr>
          <w:rFonts w:ascii="苹方 常规" w:eastAsia="苹方 常规" w:hAnsi="苹方 常规" w:cs="苹方 常规" w:hint="eastAsia"/>
          <w:b/>
          <w:bCs/>
          <w:color w:val="CFA972"/>
          <w:sz w:val="36"/>
          <w:szCs w:val="36"/>
        </w:rPr>
        <w:t>202</w:t>
      </w:r>
      <w:r w:rsidR="00AB765C">
        <w:rPr>
          <w:rFonts w:ascii="苹方 常规" w:eastAsia="苹方 常规" w:hAnsi="苹方 常规" w:cs="苹方 常规"/>
          <w:b/>
          <w:bCs/>
          <w:color w:val="CFA972"/>
          <w:sz w:val="36"/>
          <w:szCs w:val="36"/>
        </w:rPr>
        <w:t>4</w:t>
      </w:r>
      <w:r w:rsidRPr="004D47C0">
        <w:rPr>
          <w:rFonts w:ascii="苹方 常规" w:eastAsia="苹方 常规" w:hAnsi="苹方 常规" w:cs="苹方 常规" w:hint="eastAsia"/>
          <w:b/>
          <w:bCs/>
          <w:color w:val="CFA972"/>
          <w:sz w:val="36"/>
          <w:szCs w:val="36"/>
        </w:rPr>
        <w:t>金狮国际广告影片奖</w:t>
      </w:r>
    </w:p>
    <w:p w:rsidR="00D718D8" w:rsidRPr="004D47C0" w:rsidRDefault="00000000">
      <w:pPr>
        <w:jc w:val="center"/>
        <w:rPr>
          <w:rFonts w:ascii="苹方 常规" w:eastAsia="苹方 常规" w:hAnsi="苹方 常规" w:cs="苹方 常规"/>
          <w:b/>
          <w:bCs/>
          <w:sz w:val="30"/>
          <w:szCs w:val="30"/>
        </w:rPr>
      </w:pPr>
      <w:r w:rsidRPr="004D47C0">
        <w:rPr>
          <w:rFonts w:ascii="苹方 常规" w:eastAsia="苹方 常规" w:hAnsi="苹方 常规" w:cs="苹方 常规" w:hint="eastAsia"/>
          <w:b/>
          <w:bCs/>
          <w:sz w:val="30"/>
          <w:szCs w:val="30"/>
        </w:rPr>
        <w:t>付款信息</w:t>
      </w:r>
    </w:p>
    <w:tbl>
      <w:tblPr>
        <w:tblStyle w:val="a5"/>
        <w:tblpPr w:leftFromText="180" w:rightFromText="180" w:vertAnchor="text" w:horzAnchor="page" w:tblpX="1748" w:tblpY="1321"/>
        <w:tblOverlap w:val="never"/>
        <w:tblW w:w="9402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2301"/>
      </w:tblGrid>
      <w:tr w:rsidR="00D718D8">
        <w:trPr>
          <w:trHeight w:val="850"/>
        </w:trPr>
        <w:tc>
          <w:tcPr>
            <w:tcW w:w="1420" w:type="dxa"/>
            <w:shd w:val="clear" w:color="auto" w:fill="CFA972"/>
            <w:vAlign w:val="center"/>
          </w:tcPr>
          <w:p w:rsidR="00D718D8" w:rsidRDefault="00000000">
            <w:pPr>
              <w:spacing w:line="360" w:lineRule="auto"/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赛道</w:t>
            </w:r>
          </w:p>
        </w:tc>
        <w:tc>
          <w:tcPr>
            <w:tcW w:w="1420" w:type="dxa"/>
            <w:shd w:val="clear" w:color="auto" w:fill="CFA972"/>
            <w:vAlign w:val="center"/>
          </w:tcPr>
          <w:p w:rsidR="00D718D8" w:rsidRDefault="00000000">
            <w:pPr>
              <w:spacing w:line="360" w:lineRule="auto"/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奖项</w:t>
            </w:r>
          </w:p>
        </w:tc>
        <w:tc>
          <w:tcPr>
            <w:tcW w:w="1420" w:type="dxa"/>
            <w:shd w:val="clear" w:color="auto" w:fill="CFA972"/>
            <w:vAlign w:val="center"/>
          </w:tcPr>
          <w:p w:rsidR="00D718D8" w:rsidRDefault="00000000">
            <w:pPr>
              <w:spacing w:line="360" w:lineRule="auto"/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早鸟</w:t>
            </w:r>
            <w:r w:rsidR="004D47C0"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（元）</w:t>
            </w:r>
          </w:p>
        </w:tc>
        <w:tc>
          <w:tcPr>
            <w:tcW w:w="1420" w:type="dxa"/>
            <w:shd w:val="clear" w:color="auto" w:fill="CFA972"/>
            <w:vAlign w:val="center"/>
          </w:tcPr>
          <w:p w:rsidR="00D718D8" w:rsidRDefault="00000000">
            <w:pPr>
              <w:spacing w:line="360" w:lineRule="auto"/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常规</w:t>
            </w:r>
            <w:r w:rsidR="004D47C0"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（元）</w:t>
            </w:r>
          </w:p>
        </w:tc>
        <w:tc>
          <w:tcPr>
            <w:tcW w:w="1421" w:type="dxa"/>
            <w:shd w:val="clear" w:color="auto" w:fill="CFA972"/>
            <w:vAlign w:val="center"/>
          </w:tcPr>
          <w:p w:rsidR="00D718D8" w:rsidRDefault="00000000">
            <w:pPr>
              <w:spacing w:line="360" w:lineRule="auto"/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末班车</w:t>
            </w:r>
            <w:r w:rsidR="004D47C0"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（元）</w:t>
            </w:r>
          </w:p>
        </w:tc>
        <w:tc>
          <w:tcPr>
            <w:tcW w:w="2301" w:type="dxa"/>
            <w:shd w:val="clear" w:color="auto" w:fill="CFA972"/>
            <w:vAlign w:val="center"/>
          </w:tcPr>
          <w:p w:rsidR="00D718D8" w:rsidRDefault="00000000">
            <w:pPr>
              <w:spacing w:line="360" w:lineRule="auto"/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优视套餐</w:t>
            </w:r>
          </w:p>
          <w:p w:rsidR="00D718D8" w:rsidRDefault="00000000">
            <w:pPr>
              <w:spacing w:line="360" w:lineRule="auto"/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会员优惠</w:t>
            </w:r>
          </w:p>
        </w:tc>
      </w:tr>
      <w:tr w:rsidR="00D718D8">
        <w:trPr>
          <w:trHeight w:val="496"/>
        </w:trPr>
        <w:tc>
          <w:tcPr>
            <w:tcW w:w="1420" w:type="dxa"/>
            <w:vMerge w:val="restart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视频类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奖项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2500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3500</w:t>
            </w:r>
          </w:p>
        </w:tc>
        <w:tc>
          <w:tcPr>
            <w:tcW w:w="1421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5000</w:t>
            </w:r>
          </w:p>
        </w:tc>
        <w:tc>
          <w:tcPr>
            <w:tcW w:w="2301" w:type="dxa"/>
            <w:vAlign w:val="center"/>
          </w:tcPr>
          <w:p w:rsidR="00D718D8" w:rsidRDefault="00000000">
            <w:pPr>
              <w:jc w:val="left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个人套餐免费3个奖项</w:t>
            </w:r>
          </w:p>
          <w:p w:rsidR="00D718D8" w:rsidRDefault="00000000">
            <w:pPr>
              <w:jc w:val="left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企业套餐免费10个奖项</w:t>
            </w:r>
          </w:p>
        </w:tc>
      </w:tr>
      <w:tr w:rsidR="00D718D8">
        <w:tc>
          <w:tcPr>
            <w:tcW w:w="1420" w:type="dxa"/>
            <w:vMerge/>
            <w:vAlign w:val="center"/>
          </w:tcPr>
          <w:p w:rsidR="00D718D8" w:rsidRDefault="00D718D8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全场大奖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6000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7000</w:t>
            </w:r>
          </w:p>
        </w:tc>
        <w:tc>
          <w:tcPr>
            <w:tcW w:w="1421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8000</w:t>
            </w:r>
          </w:p>
        </w:tc>
        <w:tc>
          <w:tcPr>
            <w:tcW w:w="2301" w:type="dxa"/>
            <w:vAlign w:val="center"/>
          </w:tcPr>
          <w:p w:rsidR="00D718D8" w:rsidRDefault="00D718D8">
            <w:pPr>
              <w:jc w:val="left"/>
              <w:rPr>
                <w:rFonts w:ascii="苹方 粗体" w:eastAsia="苹方 粗体" w:hAnsi="苹方 粗体" w:cs="苹方 粗体"/>
                <w:sz w:val="16"/>
                <w:szCs w:val="16"/>
              </w:rPr>
            </w:pPr>
          </w:p>
        </w:tc>
      </w:tr>
      <w:tr w:rsidR="00D718D8">
        <w:tc>
          <w:tcPr>
            <w:tcW w:w="1420" w:type="dxa"/>
            <w:vMerge w:val="restart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视频创新类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奖项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2500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3500</w:t>
            </w:r>
          </w:p>
        </w:tc>
        <w:tc>
          <w:tcPr>
            <w:tcW w:w="1421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5000</w:t>
            </w:r>
          </w:p>
        </w:tc>
        <w:tc>
          <w:tcPr>
            <w:tcW w:w="2301" w:type="dxa"/>
            <w:vAlign w:val="center"/>
          </w:tcPr>
          <w:p w:rsidR="00D718D8" w:rsidRDefault="00000000">
            <w:pPr>
              <w:jc w:val="left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个人套餐免费3个奖项</w:t>
            </w:r>
          </w:p>
          <w:p w:rsidR="00D718D8" w:rsidRDefault="00000000">
            <w:pPr>
              <w:jc w:val="left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企业套餐免费10个奖项</w:t>
            </w:r>
          </w:p>
        </w:tc>
      </w:tr>
      <w:tr w:rsidR="00D718D8">
        <w:tc>
          <w:tcPr>
            <w:tcW w:w="1420" w:type="dxa"/>
            <w:vMerge/>
            <w:vAlign w:val="center"/>
          </w:tcPr>
          <w:p w:rsidR="00D718D8" w:rsidRDefault="00D718D8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全场大奖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6000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7000</w:t>
            </w:r>
          </w:p>
        </w:tc>
        <w:tc>
          <w:tcPr>
            <w:tcW w:w="1421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8000</w:t>
            </w:r>
          </w:p>
        </w:tc>
        <w:tc>
          <w:tcPr>
            <w:tcW w:w="2301" w:type="dxa"/>
            <w:vAlign w:val="center"/>
          </w:tcPr>
          <w:p w:rsidR="00D718D8" w:rsidRDefault="00D718D8">
            <w:pPr>
              <w:jc w:val="left"/>
              <w:rPr>
                <w:rFonts w:ascii="苹方 粗体" w:eastAsia="苹方 粗体" w:hAnsi="苹方 粗体" w:cs="苹方 粗体"/>
                <w:sz w:val="16"/>
                <w:szCs w:val="16"/>
              </w:rPr>
            </w:pPr>
          </w:p>
        </w:tc>
      </w:tr>
      <w:tr w:rsidR="00D718D8">
        <w:tc>
          <w:tcPr>
            <w:tcW w:w="1420" w:type="dxa"/>
            <w:vMerge w:val="restart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创意&amp;制作类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奖项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3000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4000</w:t>
            </w:r>
          </w:p>
        </w:tc>
        <w:tc>
          <w:tcPr>
            <w:tcW w:w="1421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5000</w:t>
            </w:r>
          </w:p>
        </w:tc>
        <w:tc>
          <w:tcPr>
            <w:tcW w:w="2301" w:type="dxa"/>
            <w:vAlign w:val="center"/>
          </w:tcPr>
          <w:p w:rsidR="00D718D8" w:rsidRDefault="00000000">
            <w:pPr>
              <w:jc w:val="left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个人套餐免费3个奖项</w:t>
            </w:r>
          </w:p>
          <w:p w:rsidR="00D718D8" w:rsidRDefault="00000000">
            <w:pPr>
              <w:jc w:val="left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企业套餐免费10个奖项</w:t>
            </w:r>
          </w:p>
        </w:tc>
      </w:tr>
      <w:tr w:rsidR="00D718D8">
        <w:tc>
          <w:tcPr>
            <w:tcW w:w="1420" w:type="dxa"/>
            <w:vMerge/>
            <w:vAlign w:val="center"/>
          </w:tcPr>
          <w:p w:rsidR="00D718D8" w:rsidRDefault="00D718D8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全场大奖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7000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8000</w:t>
            </w:r>
          </w:p>
        </w:tc>
        <w:tc>
          <w:tcPr>
            <w:tcW w:w="1421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9000</w:t>
            </w:r>
          </w:p>
        </w:tc>
        <w:tc>
          <w:tcPr>
            <w:tcW w:w="2301" w:type="dxa"/>
            <w:vAlign w:val="center"/>
          </w:tcPr>
          <w:p w:rsidR="00D718D8" w:rsidRDefault="00D718D8">
            <w:pPr>
              <w:jc w:val="left"/>
              <w:rPr>
                <w:rFonts w:ascii="苹方 粗体" w:eastAsia="苹方 粗体" w:hAnsi="苹方 粗体" w:cs="苹方 粗体"/>
                <w:sz w:val="16"/>
                <w:szCs w:val="16"/>
              </w:rPr>
            </w:pPr>
          </w:p>
        </w:tc>
      </w:tr>
      <w:tr w:rsidR="00D718D8">
        <w:trPr>
          <w:trHeight w:val="428"/>
        </w:trPr>
        <w:tc>
          <w:tcPr>
            <w:tcW w:w="1420" w:type="dxa"/>
            <w:vMerge w:val="restart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创作人才类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奖项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3000</w:t>
            </w:r>
          </w:p>
        </w:tc>
        <w:tc>
          <w:tcPr>
            <w:tcW w:w="1420" w:type="dxa"/>
            <w:vAlign w:val="center"/>
          </w:tcPr>
          <w:p w:rsidR="00D718D8" w:rsidRDefault="000447C1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/>
                <w:sz w:val="16"/>
                <w:szCs w:val="16"/>
              </w:rPr>
              <w:t>4000</w:t>
            </w:r>
          </w:p>
        </w:tc>
        <w:tc>
          <w:tcPr>
            <w:tcW w:w="1421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5380</w:t>
            </w:r>
          </w:p>
        </w:tc>
        <w:tc>
          <w:tcPr>
            <w:tcW w:w="2301" w:type="dxa"/>
            <w:vAlign w:val="center"/>
          </w:tcPr>
          <w:p w:rsidR="00D718D8" w:rsidRDefault="00000000">
            <w:pPr>
              <w:jc w:val="left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个人套餐免费3个奖项</w:t>
            </w:r>
          </w:p>
          <w:p w:rsidR="00D718D8" w:rsidRDefault="00000000">
            <w:pPr>
              <w:jc w:val="left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企业套餐免费10个奖项</w:t>
            </w:r>
          </w:p>
        </w:tc>
      </w:tr>
      <w:tr w:rsidR="00D718D8">
        <w:tc>
          <w:tcPr>
            <w:tcW w:w="1420" w:type="dxa"/>
            <w:vMerge/>
            <w:vAlign w:val="center"/>
          </w:tcPr>
          <w:p w:rsidR="00D718D8" w:rsidRDefault="00D718D8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全场大奖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7000</w:t>
            </w:r>
          </w:p>
        </w:tc>
        <w:tc>
          <w:tcPr>
            <w:tcW w:w="1420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8000</w:t>
            </w:r>
          </w:p>
        </w:tc>
        <w:tc>
          <w:tcPr>
            <w:tcW w:w="1421" w:type="dxa"/>
            <w:vAlign w:val="center"/>
          </w:tcPr>
          <w:p w:rsidR="00D718D8" w:rsidRDefault="00000000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9000</w:t>
            </w:r>
          </w:p>
        </w:tc>
        <w:tc>
          <w:tcPr>
            <w:tcW w:w="2301" w:type="dxa"/>
            <w:vAlign w:val="center"/>
          </w:tcPr>
          <w:p w:rsidR="00D718D8" w:rsidRDefault="00D718D8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</w:p>
        </w:tc>
      </w:tr>
      <w:tr w:rsidR="00AB765C" w:rsidTr="00BD0E7E">
        <w:tc>
          <w:tcPr>
            <w:tcW w:w="2840" w:type="dxa"/>
            <w:gridSpan w:val="2"/>
            <w:vAlign w:val="center"/>
          </w:tcPr>
          <w:p w:rsidR="00AB765C" w:rsidRDefault="00AB765C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年度榜</w:t>
            </w:r>
          </w:p>
        </w:tc>
        <w:tc>
          <w:tcPr>
            <w:tcW w:w="4261" w:type="dxa"/>
            <w:gridSpan w:val="3"/>
            <w:vAlign w:val="center"/>
          </w:tcPr>
          <w:p w:rsidR="00AB765C" w:rsidRDefault="00AB765C">
            <w:pPr>
              <w:jc w:val="center"/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3</w:t>
            </w:r>
            <w:r>
              <w:rPr>
                <w:rFonts w:ascii="苹方 粗体" w:eastAsia="苹方 粗体" w:hAnsi="苹方 粗体" w:cs="苹方 粗体"/>
                <w:sz w:val="16"/>
                <w:szCs w:val="16"/>
              </w:rPr>
              <w:t>698</w:t>
            </w:r>
          </w:p>
        </w:tc>
        <w:tc>
          <w:tcPr>
            <w:tcW w:w="2301" w:type="dxa"/>
            <w:vAlign w:val="center"/>
          </w:tcPr>
          <w:p w:rsidR="00AB765C" w:rsidRDefault="00AB765C" w:rsidP="00AB765C">
            <w:pPr>
              <w:rPr>
                <w:rFonts w:ascii="苹方 粗体" w:eastAsia="苹方 粗体" w:hAnsi="苹方 粗体" w:cs="苹方 粗体"/>
                <w:sz w:val="16"/>
                <w:szCs w:val="16"/>
              </w:rPr>
            </w:pPr>
            <w:r>
              <w:rPr>
                <w:rFonts w:ascii="苹方 粗体" w:eastAsia="苹方 粗体" w:hAnsi="苹方 粗体" w:cs="苹方 粗体" w:hint="eastAsia"/>
                <w:sz w:val="16"/>
                <w:szCs w:val="16"/>
              </w:rPr>
              <w:t>套餐会员免费</w:t>
            </w:r>
          </w:p>
        </w:tc>
      </w:tr>
    </w:tbl>
    <w:p w:rsidR="00D718D8" w:rsidRDefault="00000000">
      <w:pPr>
        <w:pStyle w:val="1"/>
        <w:spacing w:line="100" w:lineRule="atLeast"/>
        <w:jc w:val="left"/>
        <w:rPr>
          <w:rFonts w:ascii="苹方 常规" w:eastAsia="苹方 常规" w:hAnsi="苹方 常规" w:cs="苹方 常规"/>
          <w:b w:val="0"/>
          <w:sz w:val="21"/>
          <w:szCs w:val="21"/>
        </w:rPr>
      </w:pPr>
      <w:r>
        <w:rPr>
          <w:rFonts w:ascii="苹方 常规" w:eastAsia="苹方 常规" w:hAnsi="苹方 常规" w:cs="苹方 常规" w:hint="eastAsia"/>
          <w:b w:val="0"/>
          <w:sz w:val="21"/>
          <w:szCs w:val="21"/>
        </w:rPr>
        <w:t>案例参赛费用标准由案例的投稿时间而定，当报奖所有相关信息填写完整并且付款成功后，案例提交才视为成功。</w:t>
      </w:r>
    </w:p>
    <w:p w:rsidR="00D718D8" w:rsidRDefault="00000000">
      <w:pPr>
        <w:numPr>
          <w:ilvl w:val="0"/>
          <w:numId w:val="1"/>
        </w:numPr>
        <w:rPr>
          <w:rFonts w:ascii="苹方 常规" w:eastAsia="苹方 常规" w:hAnsi="苹方 常规" w:cs="苹方 常规"/>
          <w:b/>
          <w:bCs/>
          <w:color w:val="CFA972"/>
        </w:rPr>
      </w:pPr>
      <w:r>
        <w:rPr>
          <w:rFonts w:ascii="苹方 常规" w:eastAsia="苹方 常规" w:hAnsi="苹方 常规" w:cs="苹方 常规" w:hint="eastAsia"/>
          <w:b/>
          <w:bCs/>
          <w:color w:val="CFA972"/>
        </w:rPr>
        <w:t>参赛付款流程</w:t>
      </w:r>
    </w:p>
    <w:p w:rsidR="00D718D8" w:rsidRDefault="00000000">
      <w:pPr>
        <w:numPr>
          <w:ilvl w:val="0"/>
          <w:numId w:val="2"/>
        </w:numPr>
        <w:rPr>
          <w:rFonts w:ascii="苹方 常规" w:eastAsia="苹方 常规" w:hAnsi="苹方 常规" w:cs="苹方 常规"/>
          <w:color w:val="000000" w:themeColor="text1"/>
        </w:rPr>
      </w:pPr>
      <w:r>
        <w:rPr>
          <w:rFonts w:ascii="苹方 常规" w:eastAsia="苹方 常规" w:hAnsi="苹方 常规" w:cs="苹方 常规" w:hint="eastAsia"/>
          <w:color w:val="000000" w:themeColor="text1"/>
        </w:rPr>
        <w:t>在报奖系统中完成所有信息填写，并按照步骤进行到支付界面，出现支付按钮。</w:t>
      </w:r>
    </w:p>
    <w:p w:rsidR="00D718D8" w:rsidRDefault="00000000">
      <w:pPr>
        <w:numPr>
          <w:ilvl w:val="0"/>
          <w:numId w:val="2"/>
        </w:numPr>
        <w:rPr>
          <w:rFonts w:ascii="苹方 常规" w:eastAsia="苹方 常规" w:hAnsi="苹方 常规" w:cs="苹方 常规"/>
          <w:color w:val="000000" w:themeColor="text1"/>
        </w:rPr>
      </w:pPr>
      <w:r>
        <w:rPr>
          <w:rFonts w:ascii="苹方 常规" w:eastAsia="苹方 常规" w:hAnsi="苹方 常规" w:cs="苹方 常规" w:hint="eastAsia"/>
          <w:color w:val="000000" w:themeColor="text1"/>
        </w:rPr>
        <w:t>点击支付后生成订单并选择付款方式。</w:t>
      </w:r>
    </w:p>
    <w:p w:rsidR="00D718D8" w:rsidRDefault="00000000">
      <w:pPr>
        <w:adjustRightInd w:val="0"/>
        <w:snapToGrid w:val="0"/>
        <w:spacing w:after="120"/>
        <w:rPr>
          <w:rFonts w:ascii="苹方 常规" w:eastAsia="苹方 常规" w:hAnsi="苹方 常规" w:cs="苹方 常规"/>
          <w:b/>
          <w:bCs/>
          <w:color w:val="CFA972"/>
        </w:rPr>
      </w:pPr>
      <w:r>
        <w:rPr>
          <w:rFonts w:ascii="苹方 常规" w:eastAsia="苹方 常规" w:hAnsi="苹方 常规" w:cs="苹方 常规" w:hint="eastAsia"/>
          <w:color w:val="000000" w:themeColor="text1"/>
        </w:rPr>
        <w:t>可选用：1）支付宝支付  2）微信支付  3）对公转账  4）境外支付支持银行转账（支持美元和港币）和PayPal转账（仅支持美元）。</w:t>
      </w:r>
    </w:p>
    <w:p w:rsidR="00D718D8" w:rsidRDefault="00000000">
      <w:pPr>
        <w:numPr>
          <w:ilvl w:val="0"/>
          <w:numId w:val="2"/>
        </w:numPr>
        <w:rPr>
          <w:rFonts w:ascii="苹方 常规" w:eastAsia="苹方 常规" w:hAnsi="苹方 常规" w:cs="苹方 常规"/>
          <w:color w:val="000000" w:themeColor="text1"/>
        </w:rPr>
      </w:pPr>
      <w:r>
        <w:rPr>
          <w:rFonts w:ascii="苹方 常规" w:eastAsia="苹方 常规" w:hAnsi="苹方 常规" w:cs="苹方 常规" w:hint="eastAsia"/>
          <w:color w:val="000000" w:themeColor="text1"/>
        </w:rPr>
        <w:t>点击立即支付完成订单。</w:t>
      </w:r>
    </w:p>
    <w:p w:rsidR="00D718D8" w:rsidRDefault="004D47C0">
      <w:pPr>
        <w:numPr>
          <w:ilvl w:val="0"/>
          <w:numId w:val="1"/>
        </w:numPr>
        <w:rPr>
          <w:rFonts w:ascii="苹方 常规" w:eastAsia="苹方 常规" w:hAnsi="苹方 常规" w:cs="苹方 常规"/>
          <w:b/>
          <w:bCs/>
          <w:color w:val="CFA972"/>
        </w:rPr>
      </w:pPr>
      <w:r>
        <w:rPr>
          <w:rFonts w:ascii="苹方 常规" w:eastAsia="苹方 常规" w:hAnsi="苹方 常规" w:cs="苹方 常规" w:hint="eastAsia"/>
          <w:b/>
          <w:bCs/>
          <w:color w:val="CFA972"/>
        </w:rPr>
        <w:t>金狮奖账户信息：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境内支付：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方法1：支付宝&amp;微信扫码支付：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lastRenderedPageBreak/>
        <w:t>金狮奖页面提交报，</w:t>
      </w:r>
      <w:r w:rsidR="004D47C0">
        <w:rPr>
          <w:rFonts w:ascii="苹方 常规" w:eastAsia="苹方 常规" w:hAnsi="苹方 常规" w:cs="苹方 常规" w:hint="eastAsia"/>
        </w:rPr>
        <w:t>奖信息后，到“支付参赛费用”步骤</w:t>
      </w:r>
      <w:r>
        <w:rPr>
          <w:rFonts w:ascii="苹方 常规" w:eastAsia="苹方 常规" w:hAnsi="苹方 常规" w:cs="苹方 常规" w:hint="eastAsia"/>
        </w:rPr>
        <w:t>选择“支付宝支付”或“微信支付”后，扫描弹出的二维码支付码便可进行支付。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方法2：支付宝转账：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支付宝 ID：support@tvcbook.com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方法3：对公汇款信息：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公司名称：广州优视云集科技有限公司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 xml:space="preserve">纳税识别号: 91440115MA59C1TP1P 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公司地址: 广州市越秀区团结路26号自编之二房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电话号码: 020-83504966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开户银行: 广发银行股份有限公司广州广发大厦支行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银行帐号: 9550 8802 0067 8600 130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如需开具发票，请在支付完成后的7天内点击此处进行申请，我们将在7个工作日内为您寄出。</w:t>
      </w:r>
    </w:p>
    <w:p w:rsidR="00D718D8" w:rsidRDefault="00D718D8">
      <w:pPr>
        <w:rPr>
          <w:rFonts w:ascii="苹方 常规" w:eastAsia="苹方 常规" w:hAnsi="苹方 常规" w:cs="苹方 常规"/>
        </w:rPr>
      </w:pP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境外支付：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方法1：银行转账（支持美元与港币）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银行转账信息：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1.</w:t>
      </w:r>
      <w:proofErr w:type="gramStart"/>
      <w:r>
        <w:rPr>
          <w:rFonts w:ascii="苹方 常规" w:eastAsia="苹方 常规" w:hAnsi="苹方 常规" w:cs="苹方 常规" w:hint="eastAsia"/>
        </w:rPr>
        <w:t>NAME :</w:t>
      </w:r>
      <w:proofErr w:type="gramEnd"/>
      <w:r>
        <w:rPr>
          <w:rFonts w:ascii="苹方 常规" w:eastAsia="苹方 常规" w:hAnsi="苹方 常规" w:cs="苹方 常规" w:hint="eastAsia"/>
        </w:rPr>
        <w:t xml:space="preserve"> Guangzhou </w:t>
      </w:r>
      <w:proofErr w:type="spellStart"/>
      <w:r>
        <w:rPr>
          <w:rFonts w:ascii="苹方 常规" w:eastAsia="苹方 常规" w:hAnsi="苹方 常规" w:cs="苹方 常规" w:hint="eastAsia"/>
        </w:rPr>
        <w:t>YouShiYunJi</w:t>
      </w:r>
      <w:proofErr w:type="spellEnd"/>
      <w:r>
        <w:rPr>
          <w:rFonts w:ascii="苹方 常规" w:eastAsia="苹方 常规" w:hAnsi="苹方 常规" w:cs="苹方 常规" w:hint="eastAsia"/>
        </w:rPr>
        <w:t xml:space="preserve"> Technology Co., Ltd.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2.</w:t>
      </w:r>
      <w:proofErr w:type="gramStart"/>
      <w:r>
        <w:rPr>
          <w:rFonts w:ascii="苹方 常规" w:eastAsia="苹方 常规" w:hAnsi="苹方 常规" w:cs="苹方 常规" w:hint="eastAsia"/>
        </w:rPr>
        <w:t>ADDRESS :</w:t>
      </w:r>
      <w:proofErr w:type="gramEnd"/>
      <w:r>
        <w:rPr>
          <w:rFonts w:ascii="苹方 常规" w:eastAsia="苹方 常规" w:hAnsi="苹方 常规" w:cs="苹方 常规" w:hint="eastAsia"/>
        </w:rPr>
        <w:t xml:space="preserve"> Room 2, NO.26 </w:t>
      </w:r>
      <w:proofErr w:type="spellStart"/>
      <w:r>
        <w:rPr>
          <w:rFonts w:ascii="苹方 常规" w:eastAsia="苹方 常规" w:hAnsi="苹方 常规" w:cs="苹方 常规" w:hint="eastAsia"/>
        </w:rPr>
        <w:t>Tuanjie</w:t>
      </w:r>
      <w:proofErr w:type="spellEnd"/>
      <w:r>
        <w:rPr>
          <w:rFonts w:ascii="苹方 常规" w:eastAsia="苹方 常规" w:hAnsi="苹方 常规" w:cs="苹方 常规" w:hint="eastAsia"/>
        </w:rPr>
        <w:t xml:space="preserve"> Road, Yuexiu District, </w:t>
      </w:r>
      <w:proofErr w:type="spellStart"/>
      <w:r>
        <w:rPr>
          <w:rFonts w:ascii="苹方 常规" w:eastAsia="苹方 常规" w:hAnsi="苹方 常规" w:cs="苹方 常规" w:hint="eastAsia"/>
        </w:rPr>
        <w:t>GuangZhou</w:t>
      </w:r>
      <w:proofErr w:type="spellEnd"/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 xml:space="preserve">3.BANK'S </w:t>
      </w:r>
      <w:proofErr w:type="gramStart"/>
      <w:r>
        <w:rPr>
          <w:rFonts w:ascii="苹方 常规" w:eastAsia="苹方 常规" w:hAnsi="苹方 常规" w:cs="苹方 常规" w:hint="eastAsia"/>
        </w:rPr>
        <w:t>NAME :</w:t>
      </w:r>
      <w:proofErr w:type="gramEnd"/>
      <w:r>
        <w:rPr>
          <w:rFonts w:ascii="苹方 常规" w:eastAsia="苹方 常规" w:hAnsi="苹方 常规" w:cs="苹方 常规" w:hint="eastAsia"/>
        </w:rPr>
        <w:t xml:space="preserve"> CHINA GUANGFA BANK, H.O.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 xml:space="preserve">4.BANK'S ADDRESS：NO.713 EAST DONGFENG RD. YUEXIU DISTRICT, GUANGZHOU </w:t>
      </w:r>
      <w:r>
        <w:rPr>
          <w:rFonts w:ascii="苹方 常规" w:eastAsia="苹方 常规" w:hAnsi="苹方 常规" w:cs="苹方 常规" w:hint="eastAsia"/>
        </w:rPr>
        <w:lastRenderedPageBreak/>
        <w:t>GUANGDONG PROVINCE CHINA CHN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5.ACCOUNT NUMBER ：9550880200678600130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6.</w:t>
      </w:r>
      <w:proofErr w:type="gramStart"/>
      <w:r>
        <w:rPr>
          <w:rFonts w:ascii="苹方 常规" w:eastAsia="苹方 常规" w:hAnsi="苹方 常规" w:cs="苹方 常规" w:hint="eastAsia"/>
        </w:rPr>
        <w:t>SWIFTCODE :</w:t>
      </w:r>
      <w:proofErr w:type="gramEnd"/>
      <w:r>
        <w:rPr>
          <w:rFonts w:ascii="苹方 常规" w:eastAsia="苹方 常规" w:hAnsi="苹方 常规" w:cs="苹方 常规" w:hint="eastAsia"/>
        </w:rPr>
        <w:t xml:space="preserve"> GDBKCN22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方法2：PayPal转账（仅支持美元）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PayPal ID：</w:t>
      </w:r>
      <w:hyperlink r:id="rId7" w:history="1">
        <w:r>
          <w:rPr>
            <w:rStyle w:val="a6"/>
            <w:rFonts w:ascii="苹方 常规" w:eastAsia="苹方 常规" w:hAnsi="苹方 常规" w:cs="苹方 常规" w:hint="eastAsia"/>
          </w:rPr>
          <w:t>pm@tvcbook.com</w:t>
        </w:r>
      </w:hyperlink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不可撤销参赛费和参赛案例，一旦案例提交成功（完成报奖信息填写并成功付款）便不可撤销，参赛费不予退回。</w:t>
      </w:r>
    </w:p>
    <w:p w:rsidR="00D718D8" w:rsidRDefault="0000000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*一切对参赛费用和奖项解释权归金狮奖组委会所有。</w:t>
      </w:r>
    </w:p>
    <w:p w:rsidR="004D47C0" w:rsidRDefault="004D47C0" w:rsidP="004D47C0">
      <w:pPr>
        <w:rPr>
          <w:rFonts w:ascii="苹方 常规" w:eastAsia="苹方 常规" w:hAnsi="苹方 常规" w:cs="苹方 常规"/>
        </w:rPr>
      </w:pPr>
      <w:r>
        <w:rPr>
          <w:rFonts w:ascii="苹方 常规" w:eastAsia="苹方 常规" w:hAnsi="苹方 常规" w:cs="苹方 常规" w:hint="eastAsia"/>
        </w:rPr>
        <w:t>发票申请：</w:t>
      </w:r>
      <w:r w:rsidR="00AB765C">
        <w:rPr>
          <w:rFonts w:ascii="苹方 常规" w:eastAsia="苹方 常规" w:hAnsi="苹方 常规" w:cs="苹方 常规" w:hint="eastAsia"/>
        </w:rPr>
        <w:t>参赛完成后系统申请发票</w:t>
      </w:r>
    </w:p>
    <w:p w:rsidR="00D718D8" w:rsidRDefault="00D718D8">
      <w:pPr>
        <w:rPr>
          <w:rFonts w:ascii="苹方 常规" w:eastAsia="苹方 常规" w:hAnsi="苹方 常规" w:cs="苹方 常规"/>
        </w:rPr>
      </w:pPr>
    </w:p>
    <w:sectPr w:rsidR="00D718D8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360F3" w:rsidRDefault="000360F3">
      <w:r>
        <w:separator/>
      </w:r>
    </w:p>
  </w:endnote>
  <w:endnote w:type="continuationSeparator" w:id="0">
    <w:p w:rsidR="000360F3" w:rsidRDefault="0003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苹方 常规">
    <w:altName w:val="微软雅黑"/>
    <w:panose1 w:val="020B0604020202020204"/>
    <w:charset w:val="86"/>
    <w:family w:val="auto"/>
    <w:pitch w:val="default"/>
    <w:sig w:usb0="A00002FF" w:usb1="7ACFFCFB" w:usb2="00000016" w:usb3="00000000" w:csb0="00040001" w:csb1="00000000"/>
  </w:font>
  <w:font w:name="苹方 粗体">
    <w:altName w:val="微软雅黑"/>
    <w:panose1 w:val="020B0604020202020204"/>
    <w:charset w:val="86"/>
    <w:family w:val="auto"/>
    <w:pitch w:val="default"/>
    <w:sig w:usb0="A00002FF" w:usb1="7ACFFCFB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360F3" w:rsidRDefault="000360F3">
      <w:r>
        <w:separator/>
      </w:r>
    </w:p>
  </w:footnote>
  <w:footnote w:type="continuationSeparator" w:id="0">
    <w:p w:rsidR="000360F3" w:rsidRDefault="0003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18D8" w:rsidRDefault="00000000">
    <w:pPr>
      <w:pStyle w:val="a4"/>
      <w:rPr>
        <w:rFonts w:ascii="苹方 常规" w:eastAsia="苹方 常规" w:hAnsi="苹方 常规" w:cs="苹方 常规"/>
      </w:rPr>
    </w:pPr>
    <w:r>
      <w:rPr>
        <w:rFonts w:hint="eastAsia"/>
      </w:rPr>
      <w:t xml:space="preserve">                                      </w:t>
    </w:r>
    <w:r w:rsidR="004D47C0">
      <w:rPr>
        <w:rFonts w:hint="eastAsia"/>
        <w:noProof/>
      </w:rPr>
      <w:drawing>
        <wp:inline distT="0" distB="0" distL="114300" distR="114300" wp14:anchorId="03404B6E" wp14:editId="549A691E">
          <wp:extent cx="768985" cy="779780"/>
          <wp:effectExtent l="0" t="0" r="8255" b="12700"/>
          <wp:docPr id="2" name="图片 2" descr="浅色背景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浅色背景 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8985" cy="779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b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DBC98F6"/>
    <w:multiLevelType w:val="singleLevel"/>
    <w:tmpl w:val="ADBC98F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56FEACF0"/>
    <w:multiLevelType w:val="singleLevel"/>
    <w:tmpl w:val="56FEAC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50348754">
    <w:abstractNumId w:val="0"/>
  </w:num>
  <w:num w:numId="2" w16cid:durableId="143088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g1Njk1Mzg5ODAwZDMyMDlmM2U2ZWZlYWM3YjY4YWYifQ=="/>
  </w:docVars>
  <w:rsids>
    <w:rsidRoot w:val="6986272D"/>
    <w:rsid w:val="000360F3"/>
    <w:rsid w:val="00037955"/>
    <w:rsid w:val="000447C1"/>
    <w:rsid w:val="004D47C0"/>
    <w:rsid w:val="004E7095"/>
    <w:rsid w:val="00AB765C"/>
    <w:rsid w:val="00D718D8"/>
    <w:rsid w:val="592941F7"/>
    <w:rsid w:val="6986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1B0F7EA"/>
  <w15:docId w15:val="{5A97D3EF-B199-B241-B8FB-33B3A881B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tabs>
        <w:tab w:val="left" w:pos="1276"/>
      </w:tabs>
      <w:autoSpaceDE w:val="0"/>
      <w:autoSpaceDN w:val="0"/>
      <w:adjustRightInd w:val="0"/>
      <w:spacing w:line="276" w:lineRule="auto"/>
      <w:textAlignment w:val="center"/>
      <w:outlineLvl w:val="0"/>
    </w:pPr>
    <w:rPr>
      <w:rFonts w:ascii="微软雅黑" w:eastAsia="微软雅黑" w:hAnsi="微软雅黑" w:cs="Arial Unicode MS"/>
      <w:b/>
      <w:color w:val="000000"/>
      <w:kern w:val="0"/>
      <w:sz w:val="40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m@tvc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WPS_1569658089</dc:creator>
  <cp:lastModifiedBy>Microsoft Office User</cp:lastModifiedBy>
  <cp:revision>4</cp:revision>
  <dcterms:created xsi:type="dcterms:W3CDTF">2023-07-05T07:50:00Z</dcterms:created>
  <dcterms:modified xsi:type="dcterms:W3CDTF">2024-10-21T07:42:00Z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505A25C3CDCA4916B999080A65D98662_11</vt:lpwstr>
  </property>
</Properties>
</file>